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color w:val="0c343d"/>
        </w:rPr>
      </w:pPr>
      <w:r w:rsidDel="00000000" w:rsidR="00000000" w:rsidRPr="00000000">
        <w:rPr>
          <w:rFonts w:ascii="Calibri" w:cs="Calibri" w:eastAsia="Calibri" w:hAnsi="Calibri"/>
          <w:b w:val="1"/>
          <w:color w:val="0c343d"/>
          <w:sz w:val="40"/>
          <w:szCs w:val="40"/>
          <w:rtl w:val="0"/>
        </w:rPr>
        <w:t xml:space="preserve">POUVOIR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spacing w:after="0" w:before="40" w:line="24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spacing w:after="0" w:before="40" w:line="24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spacing w:after="0" w:before="40" w:line="24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Je soussigné(e)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Demeurant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Représentant légal de l’entreprise individuelle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Domiciliée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cours d’immatriculation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Donne, par les présentes, pouvoir 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Société Plume EURL, sise 249 Route de la Chavanne à ARMOY (74200), immatriculée au Registre du Commerce et des Sociétés de THONON-LES-BAINS, sous le numéro 920 686 953, représentée par Madame Priscilla CAVAILLÉ en sa qualité de Gérante,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Afin d’accomplir toutes les formalités juridiques de mon entreprise auprès du centre des formalités des entreprises compétent.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Fait à 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Signature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(précédée de la mention “Bon pour pouvoir”)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